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6DAF" w14:textId="48AEB6F1" w:rsidR="00CD6893" w:rsidRDefault="007846AF">
      <w:pPr>
        <w:jc w:val="both"/>
      </w:pPr>
      <w:r>
        <w:rPr>
          <w:rFonts w:ascii="Times New Roman" w:hAnsi="Times New Roman"/>
          <w:b/>
          <w:sz w:val="24"/>
        </w:rPr>
        <w:t>STF-JKA-1-19</w:t>
      </w:r>
    </w:p>
    <w:p w14:paraId="1335C44D" w14:textId="402ADAAD" w:rsidR="00CD6893" w:rsidRDefault="007846AF" w:rsidP="003C0865">
      <w:pPr>
        <w:jc w:val="both"/>
      </w:pPr>
      <w:r>
        <w:rPr>
          <w:rFonts w:ascii="Times New Roman" w:hAnsi="Times New Roman"/>
          <w:sz w:val="24"/>
          <w:u w:val="single"/>
        </w:rPr>
        <w:t xml:space="preserve">Question: </w:t>
      </w:r>
      <w:r>
        <w:rPr>
          <w:rFonts w:ascii="Times New Roman" w:hAnsi="Times New Roman"/>
          <w:sz w:val="24"/>
          <w:u w:val="single"/>
        </w:rPr>
        <w:br/>
      </w:r>
      <w:r>
        <w:rPr>
          <w:rFonts w:ascii="Times New Roman" w:hAnsi="Times New Roman"/>
          <w:sz w:val="24"/>
        </w:rPr>
        <w:t>Regarding the Infrastructure Investment and Jobs Act (“IIJA”) and Inflation Reduction Act (“IRA”).</w:t>
      </w:r>
    </w:p>
    <w:p w14:paraId="10B87C3E" w14:textId="77777777" w:rsidR="00CD6893" w:rsidRDefault="007846AF">
      <w:pPr>
        <w:ind w:left="567"/>
      </w:pPr>
      <w:r>
        <w:rPr>
          <w:rFonts w:ascii="Times New Roman" w:hAnsi="Times New Roman"/>
          <w:b/>
        </w:rPr>
        <w:t xml:space="preserve">a. </w:t>
      </w:r>
      <w:r>
        <w:rPr>
          <w:rFonts w:ascii="Times New Roman" w:hAnsi="Times New Roman"/>
          <w:sz w:val="24"/>
        </w:rPr>
        <w:t>Explain how the impacts of the IIJA influenced data assumptions in Georgia Power’s 2025 IRP. For any data assumption influenced, show the calculation of the data input used under the assumption that no IIJA exists and under the assumption that the IIJA is in effect.</w:t>
      </w:r>
    </w:p>
    <w:p w14:paraId="108307D4" w14:textId="45A2BCEF" w:rsidR="00CD6893" w:rsidRDefault="007846AF">
      <w:pPr>
        <w:ind w:left="567"/>
      </w:pPr>
      <w:r>
        <w:rPr>
          <w:rFonts w:ascii="Times New Roman" w:hAnsi="Times New Roman"/>
          <w:b/>
        </w:rPr>
        <w:t xml:space="preserve">b. </w:t>
      </w:r>
      <w:r>
        <w:rPr>
          <w:rFonts w:ascii="Times New Roman" w:hAnsi="Times New Roman"/>
          <w:sz w:val="24"/>
        </w:rPr>
        <w:t xml:space="preserve">Explain how the impacts of the IRA influenced data assumptions in Georgia Power’s 2025 IRP. For any data assumption influenced, show the calculation of the data input used under the assumption that no IRA exists and under the assumption that the IRA is in effect. </w:t>
      </w:r>
    </w:p>
    <w:p w14:paraId="0DD0176D" w14:textId="71AD21C0" w:rsidR="00CD6893" w:rsidRDefault="007846AF">
      <w:pPr>
        <w:rPr>
          <w:rFonts w:ascii="Times New Roman" w:hAnsi="Times New Roman"/>
          <w:sz w:val="24"/>
          <w:u w:val="single"/>
        </w:rPr>
      </w:pPr>
      <w:r>
        <w:rPr>
          <w:rFonts w:ascii="Times New Roman" w:hAnsi="Times New Roman"/>
          <w:sz w:val="24"/>
          <w:u w:val="single"/>
        </w:rPr>
        <w:t xml:space="preserve">Response: </w:t>
      </w:r>
    </w:p>
    <w:p w14:paraId="26E0A332" w14:textId="58D9615A" w:rsidR="008B266A" w:rsidRDefault="00297459" w:rsidP="00647D0E">
      <w:pPr>
        <w:pStyle w:val="ListParagraph"/>
        <w:numPr>
          <w:ilvl w:val="0"/>
          <w:numId w:val="10"/>
        </w:numPr>
        <w:jc w:val="both"/>
        <w:rPr>
          <w:rFonts w:ascii="Times New Roman" w:hAnsi="Times New Roman" w:cs="Times New Roman"/>
          <w:sz w:val="24"/>
          <w:szCs w:val="24"/>
        </w:rPr>
      </w:pPr>
      <w:r w:rsidRPr="00297459">
        <w:rPr>
          <w:rFonts w:ascii="Times New Roman" w:hAnsi="Times New Roman" w:cs="Times New Roman"/>
          <w:sz w:val="24"/>
          <w:szCs w:val="24"/>
        </w:rPr>
        <w:t>The Company did not directly incorporate</w:t>
      </w:r>
      <w:r w:rsidR="00433B93" w:rsidRPr="4F46F3B5">
        <w:rPr>
          <w:rFonts w:ascii="Times New Roman" w:hAnsi="Times New Roman" w:cs="Times New Roman"/>
          <w:sz w:val="24"/>
          <w:szCs w:val="24"/>
        </w:rPr>
        <w:t xml:space="preserve"> IIJA </w:t>
      </w:r>
      <w:r w:rsidRPr="00297459">
        <w:rPr>
          <w:rFonts w:ascii="Times New Roman" w:hAnsi="Times New Roman" w:cs="Times New Roman"/>
          <w:sz w:val="24"/>
          <w:szCs w:val="24"/>
        </w:rPr>
        <w:t xml:space="preserve">benefit assumptions into </w:t>
      </w:r>
      <w:r w:rsidR="00B83F95" w:rsidRPr="4F46F3B5">
        <w:rPr>
          <w:rFonts w:ascii="Times New Roman" w:hAnsi="Times New Roman" w:cs="Times New Roman"/>
          <w:sz w:val="24"/>
          <w:szCs w:val="24"/>
        </w:rPr>
        <w:t>any</w:t>
      </w:r>
      <w:r w:rsidR="002B1DBC" w:rsidRPr="4F46F3B5">
        <w:rPr>
          <w:rFonts w:ascii="Times New Roman" w:hAnsi="Times New Roman" w:cs="Times New Roman"/>
          <w:sz w:val="24"/>
          <w:szCs w:val="24"/>
        </w:rPr>
        <w:t xml:space="preserve"> analyses for the 2025 IRP.</w:t>
      </w:r>
      <w:r w:rsidR="00647D0E">
        <w:rPr>
          <w:rFonts w:ascii="Times New Roman" w:hAnsi="Times New Roman" w:cs="Times New Roman"/>
          <w:sz w:val="24"/>
          <w:szCs w:val="24"/>
        </w:rPr>
        <w:t xml:space="preserve"> </w:t>
      </w:r>
      <w:r w:rsidR="0037350F" w:rsidRPr="4F46F3B5">
        <w:rPr>
          <w:rFonts w:ascii="Times New Roman" w:hAnsi="Times New Roman" w:cs="Times New Roman"/>
          <w:sz w:val="24"/>
          <w:szCs w:val="24"/>
        </w:rPr>
        <w:t>As it relates to load forecasting, t</w:t>
      </w:r>
      <w:r w:rsidR="00F410FE" w:rsidRPr="4F46F3B5">
        <w:rPr>
          <w:rFonts w:ascii="Times New Roman" w:hAnsi="Times New Roman" w:cs="Times New Roman"/>
          <w:sz w:val="24"/>
          <w:szCs w:val="24"/>
        </w:rPr>
        <w:t>hese programs are implicitly captured through the forecasted economic indicators for the state and by the new large</w:t>
      </w:r>
      <w:r w:rsidR="00B22352">
        <w:rPr>
          <w:rFonts w:ascii="Times New Roman" w:hAnsi="Times New Roman" w:cs="Times New Roman"/>
          <w:sz w:val="24"/>
          <w:szCs w:val="24"/>
        </w:rPr>
        <w:t xml:space="preserve"> </w:t>
      </w:r>
      <w:r w:rsidR="00F410FE" w:rsidRPr="4F46F3B5">
        <w:rPr>
          <w:rFonts w:ascii="Times New Roman" w:hAnsi="Times New Roman" w:cs="Times New Roman"/>
          <w:sz w:val="24"/>
          <w:szCs w:val="24"/>
        </w:rPr>
        <w:t>load projects that are coming to Georgia.</w:t>
      </w:r>
      <w:r w:rsidR="003B3498" w:rsidRPr="4F46F3B5">
        <w:rPr>
          <w:rFonts w:ascii="Times New Roman" w:hAnsi="Times New Roman" w:cs="Times New Roman"/>
          <w:sz w:val="24"/>
          <w:szCs w:val="24"/>
        </w:rPr>
        <w:t xml:space="preserve"> </w:t>
      </w:r>
      <w:r w:rsidR="003B3498" w:rsidRPr="003B3498">
        <w:rPr>
          <w:rFonts w:ascii="Times New Roman" w:hAnsi="Times New Roman" w:cs="Times New Roman"/>
          <w:sz w:val="24"/>
          <w:szCs w:val="24"/>
        </w:rPr>
        <w:t xml:space="preserve">The Company will continue </w:t>
      </w:r>
      <w:r w:rsidR="3114A556" w:rsidRPr="1EC56E61">
        <w:rPr>
          <w:rFonts w:ascii="Times New Roman" w:hAnsi="Times New Roman" w:cs="Times New Roman"/>
          <w:sz w:val="24"/>
          <w:szCs w:val="24"/>
        </w:rPr>
        <w:t>to</w:t>
      </w:r>
      <w:r w:rsidR="003B3498" w:rsidRPr="1EC56E61">
        <w:rPr>
          <w:rFonts w:ascii="Times New Roman" w:hAnsi="Times New Roman" w:cs="Times New Roman"/>
          <w:sz w:val="24"/>
          <w:szCs w:val="24"/>
        </w:rPr>
        <w:t xml:space="preserve"> </w:t>
      </w:r>
      <w:r w:rsidR="003B3498" w:rsidRPr="003B3498">
        <w:rPr>
          <w:rFonts w:ascii="Times New Roman" w:hAnsi="Times New Roman" w:cs="Times New Roman"/>
          <w:sz w:val="24"/>
          <w:szCs w:val="24"/>
        </w:rPr>
        <w:t>pursue opportunities to provide IIJA benefits to customers as those opportunities are identified and vetted.</w:t>
      </w:r>
      <w:r>
        <w:rPr>
          <w:rFonts w:ascii="Times New Roman" w:hAnsi="Times New Roman" w:cs="Times New Roman"/>
          <w:sz w:val="24"/>
          <w:szCs w:val="24"/>
        </w:rPr>
        <w:br/>
      </w:r>
    </w:p>
    <w:p w14:paraId="71235177" w14:textId="10E8255E" w:rsidR="001C1BD1" w:rsidRPr="001C1BD1" w:rsidRDefault="006E591D" w:rsidP="00647D0E">
      <w:pPr>
        <w:pStyle w:val="ListParagraph"/>
        <w:numPr>
          <w:ilvl w:val="0"/>
          <w:numId w:val="10"/>
        </w:numPr>
        <w:jc w:val="both"/>
        <w:rPr>
          <w:rFonts w:ascii="Times New Roman" w:hAnsi="Times New Roman" w:cs="Times New Roman"/>
          <w:sz w:val="24"/>
          <w:szCs w:val="24"/>
        </w:rPr>
      </w:pPr>
      <w:r w:rsidRPr="4F46F3B5">
        <w:rPr>
          <w:rFonts w:ascii="Times New Roman" w:hAnsi="Times New Roman" w:cs="Times New Roman"/>
          <w:sz w:val="24"/>
          <w:szCs w:val="24"/>
        </w:rPr>
        <w:t xml:space="preserve">For </w:t>
      </w:r>
      <w:r w:rsidR="57B62B32" w:rsidRPr="4F46F3B5">
        <w:rPr>
          <w:rFonts w:ascii="Times New Roman" w:hAnsi="Times New Roman" w:cs="Times New Roman"/>
          <w:sz w:val="24"/>
          <w:szCs w:val="24"/>
        </w:rPr>
        <w:t xml:space="preserve">all analyses in </w:t>
      </w:r>
      <w:r w:rsidRPr="4F46F3B5">
        <w:rPr>
          <w:rFonts w:ascii="Times New Roman" w:hAnsi="Times New Roman" w:cs="Times New Roman"/>
          <w:sz w:val="24"/>
          <w:szCs w:val="24"/>
        </w:rPr>
        <w:t>the 2025 IRP, the Company assumed the IRA tax credits exist.</w:t>
      </w:r>
      <w:r>
        <w:br/>
      </w:r>
      <w:r>
        <w:br/>
      </w:r>
      <w:r w:rsidR="00F456D2" w:rsidRPr="2ADCCF7C">
        <w:rPr>
          <w:rFonts w:ascii="Times New Roman" w:hAnsi="Times New Roman" w:cs="Times New Roman"/>
          <w:sz w:val="24"/>
          <w:szCs w:val="24"/>
        </w:rPr>
        <w:t>The Company included assumptions for production tax credits (“PTC”)</w:t>
      </w:r>
      <w:r w:rsidR="007652D5">
        <w:rPr>
          <w:rFonts w:ascii="Times New Roman" w:hAnsi="Times New Roman" w:cs="Times New Roman"/>
          <w:sz w:val="24"/>
          <w:szCs w:val="24"/>
        </w:rPr>
        <w:t>,</w:t>
      </w:r>
      <w:r w:rsidR="00F456D2" w:rsidRPr="2ADCCF7C">
        <w:rPr>
          <w:rFonts w:ascii="Times New Roman" w:hAnsi="Times New Roman" w:cs="Times New Roman"/>
          <w:sz w:val="24"/>
          <w:szCs w:val="24"/>
        </w:rPr>
        <w:t xml:space="preserve"> investment tax credits (“ITC”)</w:t>
      </w:r>
      <w:r w:rsidR="007652D5">
        <w:rPr>
          <w:rFonts w:ascii="Times New Roman" w:hAnsi="Times New Roman" w:cs="Times New Roman"/>
          <w:sz w:val="24"/>
          <w:szCs w:val="24"/>
        </w:rPr>
        <w:t xml:space="preserve">, and </w:t>
      </w:r>
      <w:r w:rsidR="00983292">
        <w:rPr>
          <w:rFonts w:ascii="Times New Roman" w:hAnsi="Times New Roman" w:cs="Times New Roman"/>
          <w:sz w:val="24"/>
          <w:szCs w:val="24"/>
        </w:rPr>
        <w:t>45Q tax credits</w:t>
      </w:r>
      <w:r w:rsidR="00F456D2" w:rsidRPr="2ADCCF7C">
        <w:rPr>
          <w:rFonts w:ascii="Times New Roman" w:hAnsi="Times New Roman" w:cs="Times New Roman"/>
          <w:sz w:val="24"/>
          <w:szCs w:val="24"/>
        </w:rPr>
        <w:t xml:space="preserve"> for </w:t>
      </w:r>
      <w:r w:rsidR="001B1001" w:rsidRPr="2ADCCF7C">
        <w:rPr>
          <w:rFonts w:ascii="Times New Roman" w:hAnsi="Times New Roman" w:cs="Times New Roman"/>
          <w:sz w:val="24"/>
          <w:szCs w:val="24"/>
        </w:rPr>
        <w:t>eligible resources</w:t>
      </w:r>
      <w:r w:rsidR="38C3BFD8" w:rsidRPr="2ADCCF7C">
        <w:rPr>
          <w:rFonts w:ascii="Times New Roman" w:hAnsi="Times New Roman" w:cs="Times New Roman"/>
          <w:sz w:val="24"/>
          <w:szCs w:val="24"/>
        </w:rPr>
        <w:t xml:space="preserve"> in all scenarios in the Resource Mix Study</w:t>
      </w:r>
      <w:r w:rsidR="00F456D2" w:rsidRPr="2ADCCF7C">
        <w:rPr>
          <w:rFonts w:ascii="Times New Roman" w:hAnsi="Times New Roman" w:cs="Times New Roman"/>
          <w:sz w:val="24"/>
          <w:szCs w:val="24"/>
        </w:rPr>
        <w:t xml:space="preserve">. Please </w:t>
      </w:r>
      <w:r w:rsidR="001B1001" w:rsidRPr="2ADCCF7C">
        <w:rPr>
          <w:rFonts w:ascii="Times New Roman" w:hAnsi="Times New Roman" w:cs="Times New Roman"/>
          <w:sz w:val="24"/>
          <w:szCs w:val="24"/>
        </w:rPr>
        <w:t xml:space="preserve">see the 2025 IRP Technical Appendix </w:t>
      </w:r>
      <w:r w:rsidR="00B5365D">
        <w:rPr>
          <w:rFonts w:ascii="Times New Roman" w:hAnsi="Times New Roman" w:cs="Times New Roman"/>
          <w:sz w:val="24"/>
          <w:szCs w:val="24"/>
        </w:rPr>
        <w:t>Vol</w:t>
      </w:r>
      <w:r w:rsidR="001D103A">
        <w:rPr>
          <w:rFonts w:ascii="Times New Roman" w:hAnsi="Times New Roman" w:cs="Times New Roman"/>
          <w:sz w:val="24"/>
          <w:szCs w:val="24"/>
        </w:rPr>
        <w:t>ume</w:t>
      </w:r>
      <w:r w:rsidR="00B5365D">
        <w:rPr>
          <w:rFonts w:ascii="Times New Roman" w:hAnsi="Times New Roman" w:cs="Times New Roman"/>
          <w:sz w:val="24"/>
          <w:szCs w:val="24"/>
        </w:rPr>
        <w:t xml:space="preserve"> 2</w:t>
      </w:r>
      <w:r w:rsidR="00E067E3">
        <w:rPr>
          <w:rFonts w:ascii="Times New Roman" w:hAnsi="Times New Roman" w:cs="Times New Roman"/>
          <w:sz w:val="24"/>
          <w:szCs w:val="24"/>
        </w:rPr>
        <w:t xml:space="preserve">, </w:t>
      </w:r>
      <w:r w:rsidR="00160897" w:rsidRPr="2ADCCF7C">
        <w:rPr>
          <w:rFonts w:ascii="Times New Roman" w:hAnsi="Times New Roman" w:cs="Times New Roman"/>
          <w:sz w:val="24"/>
          <w:szCs w:val="24"/>
        </w:rPr>
        <w:t>Resource Mix Study</w:t>
      </w:r>
      <w:r w:rsidR="00B5365D">
        <w:rPr>
          <w:rFonts w:ascii="Times New Roman" w:hAnsi="Times New Roman" w:cs="Times New Roman"/>
          <w:sz w:val="24"/>
          <w:szCs w:val="24"/>
        </w:rPr>
        <w:t xml:space="preserve">, </w:t>
      </w:r>
      <w:r w:rsidR="00160897" w:rsidRPr="2ADCCF7C">
        <w:rPr>
          <w:rFonts w:ascii="Times New Roman" w:hAnsi="Times New Roman" w:cs="Times New Roman"/>
          <w:sz w:val="24"/>
          <w:szCs w:val="24"/>
        </w:rPr>
        <w:t>Techn</w:t>
      </w:r>
      <w:r w:rsidR="00433B93" w:rsidRPr="2ADCCF7C">
        <w:rPr>
          <w:rFonts w:ascii="Times New Roman" w:hAnsi="Times New Roman" w:cs="Times New Roman"/>
          <w:sz w:val="24"/>
          <w:szCs w:val="24"/>
        </w:rPr>
        <w:t>ology Cost and Performance Views</w:t>
      </w:r>
      <w:r w:rsidR="00257E07">
        <w:rPr>
          <w:rFonts w:ascii="Times New Roman" w:hAnsi="Times New Roman" w:cs="Times New Roman"/>
          <w:sz w:val="24"/>
          <w:szCs w:val="24"/>
        </w:rPr>
        <w:t xml:space="preserve"> section</w:t>
      </w:r>
      <w:r w:rsidR="00433B93" w:rsidRPr="2ADCCF7C">
        <w:rPr>
          <w:rFonts w:ascii="Times New Roman" w:hAnsi="Times New Roman" w:cs="Times New Roman"/>
          <w:sz w:val="24"/>
          <w:szCs w:val="24"/>
        </w:rPr>
        <w:t xml:space="preserve"> </w:t>
      </w:r>
      <w:r w:rsidR="00F456D2" w:rsidRPr="2ADCCF7C">
        <w:rPr>
          <w:rFonts w:ascii="Times New Roman" w:hAnsi="Times New Roman" w:cs="Times New Roman"/>
          <w:sz w:val="24"/>
          <w:szCs w:val="24"/>
        </w:rPr>
        <w:t>for more information on these assumptions.</w:t>
      </w:r>
      <w:r w:rsidR="0053203F" w:rsidRPr="2ADCCF7C">
        <w:rPr>
          <w:rFonts w:ascii="Times New Roman" w:hAnsi="Times New Roman" w:cs="Times New Roman"/>
          <w:sz w:val="24"/>
          <w:szCs w:val="24"/>
        </w:rPr>
        <w:t xml:space="preserve"> </w:t>
      </w:r>
      <w:r w:rsidR="000F4EC6">
        <w:rPr>
          <w:rFonts w:ascii="Times New Roman" w:hAnsi="Times New Roman" w:cs="Times New Roman"/>
          <w:sz w:val="24"/>
          <w:szCs w:val="24"/>
        </w:rPr>
        <w:t xml:space="preserve">Please see </w:t>
      </w:r>
      <w:r w:rsidR="00B56A92">
        <w:rPr>
          <w:rFonts w:ascii="Times New Roman" w:hAnsi="Times New Roman" w:cs="Times New Roman"/>
          <w:sz w:val="24"/>
          <w:szCs w:val="24"/>
        </w:rPr>
        <w:t xml:space="preserve">workpapers in the </w:t>
      </w:r>
      <w:proofErr w:type="spellStart"/>
      <w:r w:rsidR="000F4EC6">
        <w:rPr>
          <w:rFonts w:ascii="Times New Roman" w:hAnsi="Times New Roman" w:cs="Times New Roman"/>
          <w:sz w:val="24"/>
          <w:szCs w:val="24"/>
        </w:rPr>
        <w:t>SAMFiles</w:t>
      </w:r>
      <w:proofErr w:type="spellEnd"/>
      <w:r w:rsidR="000F4EC6">
        <w:rPr>
          <w:rFonts w:ascii="Times New Roman" w:hAnsi="Times New Roman" w:cs="Times New Roman"/>
          <w:sz w:val="24"/>
          <w:szCs w:val="24"/>
        </w:rPr>
        <w:t xml:space="preserve"> for Generics TRADE SECRET </w:t>
      </w:r>
      <w:r w:rsidR="00B56A92">
        <w:rPr>
          <w:rFonts w:ascii="Times New Roman" w:hAnsi="Times New Roman" w:cs="Times New Roman"/>
          <w:sz w:val="24"/>
          <w:szCs w:val="24"/>
        </w:rPr>
        <w:t xml:space="preserve">workpapers folder </w:t>
      </w:r>
      <w:r w:rsidR="00B51243">
        <w:rPr>
          <w:rFonts w:ascii="Times New Roman" w:hAnsi="Times New Roman" w:cs="Times New Roman"/>
          <w:sz w:val="24"/>
          <w:szCs w:val="24"/>
        </w:rPr>
        <w:t xml:space="preserve">provided to Commission Staff on January 31, 2025, </w:t>
      </w:r>
      <w:r w:rsidR="000F4EC6">
        <w:rPr>
          <w:rFonts w:ascii="Times New Roman" w:hAnsi="Times New Roman" w:cs="Times New Roman"/>
          <w:sz w:val="24"/>
          <w:szCs w:val="24"/>
        </w:rPr>
        <w:t>for</w:t>
      </w:r>
      <w:r w:rsidR="00B5365D">
        <w:rPr>
          <w:rFonts w:ascii="Times New Roman" w:hAnsi="Times New Roman" w:cs="Times New Roman"/>
          <w:sz w:val="24"/>
          <w:szCs w:val="24"/>
        </w:rPr>
        <w:t xml:space="preserve"> technology cost calculations incorporating the </w:t>
      </w:r>
      <w:r w:rsidR="00675EC2">
        <w:rPr>
          <w:rFonts w:ascii="Times New Roman" w:hAnsi="Times New Roman" w:cs="Times New Roman"/>
          <w:sz w:val="24"/>
          <w:szCs w:val="24"/>
        </w:rPr>
        <w:t>IRA tax credits.</w:t>
      </w:r>
      <w:r w:rsidR="000F4EC6">
        <w:rPr>
          <w:rFonts w:ascii="Times New Roman" w:hAnsi="Times New Roman" w:cs="Times New Roman"/>
          <w:sz w:val="24"/>
          <w:szCs w:val="24"/>
        </w:rPr>
        <w:t xml:space="preserve"> </w:t>
      </w:r>
    </w:p>
    <w:p w14:paraId="4FA45383" w14:textId="4B25DD32" w:rsidR="224E97E7" w:rsidRDefault="224E97E7" w:rsidP="00647D0E">
      <w:pPr>
        <w:pStyle w:val="ListParagraph"/>
        <w:jc w:val="both"/>
        <w:rPr>
          <w:rFonts w:ascii="Times New Roman" w:hAnsi="Times New Roman" w:cs="Times New Roman"/>
          <w:sz w:val="24"/>
          <w:szCs w:val="24"/>
        </w:rPr>
      </w:pPr>
    </w:p>
    <w:p w14:paraId="0556D265" w14:textId="0A630B0D" w:rsidR="001C1BD1" w:rsidRPr="001C1BD1" w:rsidRDefault="00F36524" w:rsidP="00647D0E">
      <w:pPr>
        <w:pStyle w:val="ListParagraph"/>
        <w:jc w:val="both"/>
        <w:rPr>
          <w:rFonts w:ascii="Times New Roman" w:hAnsi="Times New Roman" w:cs="Times New Roman"/>
          <w:sz w:val="24"/>
          <w:szCs w:val="24"/>
        </w:rPr>
      </w:pPr>
      <w:r w:rsidRPr="43FB5F3C">
        <w:rPr>
          <w:rFonts w:ascii="Times New Roman" w:hAnsi="Times New Roman" w:cs="Times New Roman"/>
          <w:sz w:val="24"/>
          <w:szCs w:val="24"/>
        </w:rPr>
        <w:t xml:space="preserve">The </w:t>
      </w:r>
      <w:r w:rsidR="442DE710" w:rsidRPr="43FB5F3C">
        <w:rPr>
          <w:rFonts w:ascii="Times New Roman" w:hAnsi="Times New Roman" w:cs="Times New Roman"/>
          <w:sz w:val="24"/>
          <w:szCs w:val="24"/>
        </w:rPr>
        <w:t>Company assumes PTC</w:t>
      </w:r>
      <w:r w:rsidR="00125D6A">
        <w:rPr>
          <w:rFonts w:ascii="Times New Roman" w:hAnsi="Times New Roman" w:cs="Times New Roman"/>
          <w:sz w:val="24"/>
          <w:szCs w:val="24"/>
        </w:rPr>
        <w:t xml:space="preserve"> and Department of Energy (“DOE”) </w:t>
      </w:r>
      <w:r w:rsidR="442DE710" w:rsidRPr="43FB5F3C">
        <w:rPr>
          <w:rFonts w:ascii="Times New Roman" w:hAnsi="Times New Roman" w:cs="Times New Roman"/>
          <w:sz w:val="24"/>
          <w:szCs w:val="24"/>
        </w:rPr>
        <w:t xml:space="preserve">Title 1706 loan guarantees for </w:t>
      </w:r>
      <w:r w:rsidR="006E056C" w:rsidRPr="43FB5F3C">
        <w:rPr>
          <w:rFonts w:ascii="Times New Roman" w:hAnsi="Times New Roman" w:cs="Times New Roman"/>
          <w:sz w:val="24"/>
          <w:szCs w:val="24"/>
        </w:rPr>
        <w:t>proposed nuclear upgrades</w:t>
      </w:r>
      <w:r w:rsidR="01E7F7A1" w:rsidRPr="43FB5F3C">
        <w:rPr>
          <w:rFonts w:ascii="Times New Roman" w:hAnsi="Times New Roman" w:cs="Times New Roman"/>
          <w:sz w:val="24"/>
          <w:szCs w:val="24"/>
        </w:rPr>
        <w:t>.</w:t>
      </w:r>
      <w:r w:rsidR="00125D6A">
        <w:rPr>
          <w:rFonts w:ascii="Times New Roman" w:hAnsi="Times New Roman" w:cs="Times New Roman"/>
          <w:sz w:val="24"/>
          <w:szCs w:val="24"/>
        </w:rPr>
        <w:t xml:space="preserve"> Please see the 2025 IRP Technical Appendix Vol</w:t>
      </w:r>
      <w:r w:rsidR="0073057D">
        <w:rPr>
          <w:rFonts w:ascii="Times New Roman" w:hAnsi="Times New Roman" w:cs="Times New Roman"/>
          <w:sz w:val="24"/>
          <w:szCs w:val="24"/>
        </w:rPr>
        <w:t>ume</w:t>
      </w:r>
      <w:r w:rsidR="00125D6A">
        <w:rPr>
          <w:rFonts w:ascii="Times New Roman" w:hAnsi="Times New Roman" w:cs="Times New Roman"/>
          <w:sz w:val="24"/>
          <w:szCs w:val="24"/>
        </w:rPr>
        <w:t xml:space="preserve"> 1</w:t>
      </w:r>
      <w:r w:rsidR="59B17D36" w:rsidRPr="43FB5F3C">
        <w:rPr>
          <w:rFonts w:ascii="Times New Roman" w:hAnsi="Times New Roman" w:cs="Times New Roman"/>
          <w:sz w:val="24"/>
          <w:szCs w:val="24"/>
        </w:rPr>
        <w:t xml:space="preserve">, </w:t>
      </w:r>
      <w:r w:rsidR="00125D6A">
        <w:rPr>
          <w:rFonts w:ascii="Times New Roman" w:hAnsi="Times New Roman" w:cs="Times New Roman"/>
          <w:sz w:val="24"/>
          <w:szCs w:val="24"/>
        </w:rPr>
        <w:t xml:space="preserve">Nuclear Upgrades for more information. </w:t>
      </w:r>
    </w:p>
    <w:p w14:paraId="6CA3FA2B" w14:textId="471AD276" w:rsidR="224E97E7" w:rsidRDefault="224E97E7" w:rsidP="00647D0E">
      <w:pPr>
        <w:pStyle w:val="ListParagraph"/>
        <w:jc w:val="both"/>
        <w:rPr>
          <w:rFonts w:ascii="Times New Roman" w:hAnsi="Times New Roman" w:cs="Times New Roman"/>
          <w:sz w:val="24"/>
          <w:szCs w:val="24"/>
        </w:rPr>
      </w:pPr>
    </w:p>
    <w:p w14:paraId="4C8D2A39" w14:textId="675F6F9B" w:rsidR="43A55D86" w:rsidRDefault="43A55D86" w:rsidP="00647D0E">
      <w:pPr>
        <w:pStyle w:val="ListParagraph"/>
        <w:jc w:val="both"/>
        <w:rPr>
          <w:rFonts w:ascii="Times New Roman" w:hAnsi="Times New Roman" w:cs="Times New Roman"/>
          <w:sz w:val="24"/>
          <w:szCs w:val="24"/>
        </w:rPr>
      </w:pPr>
      <w:r w:rsidRPr="43FB5F3C">
        <w:rPr>
          <w:rFonts w:ascii="Times New Roman" w:hAnsi="Times New Roman" w:cs="Times New Roman"/>
          <w:sz w:val="24"/>
          <w:szCs w:val="24"/>
        </w:rPr>
        <w:t>The Company assume</w:t>
      </w:r>
      <w:r w:rsidR="776EB0D7" w:rsidRPr="43FB5F3C">
        <w:rPr>
          <w:rFonts w:ascii="Times New Roman" w:hAnsi="Times New Roman" w:cs="Times New Roman"/>
          <w:sz w:val="24"/>
          <w:szCs w:val="24"/>
        </w:rPr>
        <w:t>s</w:t>
      </w:r>
      <w:r w:rsidRPr="43FB5F3C">
        <w:rPr>
          <w:rFonts w:ascii="Times New Roman" w:hAnsi="Times New Roman" w:cs="Times New Roman"/>
          <w:sz w:val="24"/>
          <w:szCs w:val="24"/>
        </w:rPr>
        <w:t xml:space="preserve"> ITC and DOE loan guarantees for </w:t>
      </w:r>
      <w:r w:rsidR="62B4B7AB" w:rsidRPr="43FB5F3C">
        <w:rPr>
          <w:rFonts w:ascii="Times New Roman" w:hAnsi="Times New Roman" w:cs="Times New Roman"/>
          <w:sz w:val="24"/>
          <w:szCs w:val="24"/>
        </w:rPr>
        <w:t>hydro units evaluated in the Hydro Modernization analysis. Please see the 2025 IRP Technical Appendix Vol</w:t>
      </w:r>
      <w:r w:rsidR="00554270">
        <w:rPr>
          <w:rFonts w:ascii="Times New Roman" w:hAnsi="Times New Roman" w:cs="Times New Roman"/>
          <w:sz w:val="24"/>
          <w:szCs w:val="24"/>
        </w:rPr>
        <w:t>ume</w:t>
      </w:r>
      <w:r w:rsidR="62B4B7AB" w:rsidRPr="43FB5F3C">
        <w:rPr>
          <w:rFonts w:ascii="Times New Roman" w:hAnsi="Times New Roman" w:cs="Times New Roman"/>
          <w:sz w:val="24"/>
          <w:szCs w:val="24"/>
        </w:rPr>
        <w:t xml:space="preserve"> 1, Hydro Modernization for more information. </w:t>
      </w:r>
    </w:p>
    <w:p w14:paraId="16EA935E" w14:textId="296AE3E7" w:rsidR="43FB5F3C" w:rsidRDefault="43FB5F3C" w:rsidP="00647D0E">
      <w:pPr>
        <w:pStyle w:val="ListParagraph"/>
        <w:jc w:val="both"/>
        <w:rPr>
          <w:rFonts w:ascii="Times New Roman" w:hAnsi="Times New Roman" w:cs="Times New Roman"/>
          <w:sz w:val="24"/>
          <w:szCs w:val="24"/>
        </w:rPr>
      </w:pPr>
    </w:p>
    <w:p w14:paraId="0713AC2C" w14:textId="63095D4A" w:rsidR="78D1E933" w:rsidRDefault="78D1E933" w:rsidP="00647D0E">
      <w:pPr>
        <w:pStyle w:val="ListParagraph"/>
        <w:jc w:val="both"/>
        <w:rPr>
          <w:rFonts w:ascii="Times New Roman" w:hAnsi="Times New Roman" w:cs="Times New Roman"/>
          <w:sz w:val="24"/>
          <w:szCs w:val="24"/>
        </w:rPr>
      </w:pPr>
      <w:r w:rsidRPr="43FB5F3C">
        <w:rPr>
          <w:rFonts w:ascii="Times New Roman" w:hAnsi="Times New Roman" w:cs="Times New Roman"/>
          <w:sz w:val="24"/>
          <w:szCs w:val="24"/>
        </w:rPr>
        <w:t xml:space="preserve">The Company assumes </w:t>
      </w:r>
      <w:r w:rsidR="35196236" w:rsidRPr="43FB5F3C">
        <w:rPr>
          <w:rFonts w:ascii="Times New Roman" w:hAnsi="Times New Roman" w:cs="Times New Roman"/>
          <w:sz w:val="24"/>
          <w:szCs w:val="24"/>
        </w:rPr>
        <w:t xml:space="preserve">Section 45Q Tax Credit for </w:t>
      </w:r>
      <w:r w:rsidR="00F458E3">
        <w:rPr>
          <w:rFonts w:ascii="Times New Roman" w:hAnsi="Times New Roman" w:cs="Times New Roman"/>
          <w:sz w:val="24"/>
          <w:szCs w:val="24"/>
        </w:rPr>
        <w:t>c</w:t>
      </w:r>
      <w:r w:rsidR="35196236" w:rsidRPr="43FB5F3C">
        <w:rPr>
          <w:rFonts w:ascii="Times New Roman" w:hAnsi="Times New Roman" w:cs="Times New Roman"/>
          <w:sz w:val="24"/>
          <w:szCs w:val="24"/>
        </w:rPr>
        <w:t xml:space="preserve">arbon </w:t>
      </w:r>
      <w:r w:rsidR="00F458E3">
        <w:rPr>
          <w:rFonts w:ascii="Times New Roman" w:hAnsi="Times New Roman" w:cs="Times New Roman"/>
          <w:sz w:val="24"/>
          <w:szCs w:val="24"/>
        </w:rPr>
        <w:t>s</w:t>
      </w:r>
      <w:r w:rsidR="16B4B6DA" w:rsidRPr="43FB5F3C">
        <w:rPr>
          <w:rFonts w:ascii="Times New Roman" w:hAnsi="Times New Roman" w:cs="Times New Roman"/>
          <w:sz w:val="24"/>
          <w:szCs w:val="24"/>
        </w:rPr>
        <w:t>equestration in the Unit Retirement Study for coal units eval</w:t>
      </w:r>
      <w:r w:rsidR="12099463" w:rsidRPr="43FB5F3C">
        <w:rPr>
          <w:rFonts w:ascii="Times New Roman" w:hAnsi="Times New Roman" w:cs="Times New Roman"/>
          <w:sz w:val="24"/>
          <w:szCs w:val="24"/>
        </w:rPr>
        <w:t>u</w:t>
      </w:r>
      <w:r w:rsidR="16B4B6DA" w:rsidRPr="43FB5F3C">
        <w:rPr>
          <w:rFonts w:ascii="Times New Roman" w:hAnsi="Times New Roman" w:cs="Times New Roman"/>
          <w:sz w:val="24"/>
          <w:szCs w:val="24"/>
        </w:rPr>
        <w:t xml:space="preserve">ated under the </w:t>
      </w:r>
      <w:r w:rsidR="00F458E3">
        <w:rPr>
          <w:rFonts w:ascii="Times New Roman" w:hAnsi="Times New Roman" w:cs="Times New Roman"/>
          <w:sz w:val="24"/>
          <w:szCs w:val="24"/>
        </w:rPr>
        <w:t>carbon capture and sequestration (“</w:t>
      </w:r>
      <w:r w:rsidR="16B4B6DA" w:rsidRPr="43FB5F3C">
        <w:rPr>
          <w:rFonts w:ascii="Times New Roman" w:hAnsi="Times New Roman" w:cs="Times New Roman"/>
          <w:sz w:val="24"/>
          <w:szCs w:val="24"/>
        </w:rPr>
        <w:t>CCS</w:t>
      </w:r>
      <w:r w:rsidR="00F458E3">
        <w:rPr>
          <w:rFonts w:ascii="Times New Roman" w:hAnsi="Times New Roman" w:cs="Times New Roman"/>
          <w:sz w:val="24"/>
          <w:szCs w:val="24"/>
        </w:rPr>
        <w:t>”)</w:t>
      </w:r>
      <w:r w:rsidR="16B4B6DA" w:rsidRPr="43FB5F3C">
        <w:rPr>
          <w:rFonts w:ascii="Times New Roman" w:hAnsi="Times New Roman" w:cs="Times New Roman"/>
          <w:sz w:val="24"/>
          <w:szCs w:val="24"/>
        </w:rPr>
        <w:t xml:space="preserve"> </w:t>
      </w:r>
      <w:r w:rsidR="67DFE2F8" w:rsidRPr="43FB5F3C">
        <w:rPr>
          <w:rFonts w:ascii="Times New Roman" w:hAnsi="Times New Roman" w:cs="Times New Roman"/>
          <w:sz w:val="24"/>
          <w:szCs w:val="24"/>
        </w:rPr>
        <w:t>compliance</w:t>
      </w:r>
      <w:r w:rsidR="16B4B6DA" w:rsidRPr="43FB5F3C">
        <w:rPr>
          <w:rFonts w:ascii="Times New Roman" w:hAnsi="Times New Roman" w:cs="Times New Roman"/>
          <w:sz w:val="24"/>
          <w:szCs w:val="24"/>
        </w:rPr>
        <w:t xml:space="preserve"> pathway for 111 </w:t>
      </w:r>
      <w:r w:rsidR="00AF4C08">
        <w:rPr>
          <w:rFonts w:ascii="Times New Roman" w:hAnsi="Times New Roman" w:cs="Times New Roman"/>
          <w:sz w:val="24"/>
          <w:szCs w:val="24"/>
        </w:rPr>
        <w:t>Greenhouse Gas (“</w:t>
      </w:r>
      <w:r w:rsidR="16B4B6DA" w:rsidRPr="43FB5F3C">
        <w:rPr>
          <w:rFonts w:ascii="Times New Roman" w:hAnsi="Times New Roman" w:cs="Times New Roman"/>
          <w:sz w:val="24"/>
          <w:szCs w:val="24"/>
        </w:rPr>
        <w:t>GHG</w:t>
      </w:r>
      <w:r w:rsidR="00AF4C08">
        <w:rPr>
          <w:rFonts w:ascii="Times New Roman" w:hAnsi="Times New Roman" w:cs="Times New Roman"/>
          <w:sz w:val="24"/>
          <w:szCs w:val="24"/>
        </w:rPr>
        <w:t>”)</w:t>
      </w:r>
      <w:r w:rsidR="16B4B6DA" w:rsidRPr="43FB5F3C">
        <w:rPr>
          <w:rFonts w:ascii="Times New Roman" w:hAnsi="Times New Roman" w:cs="Times New Roman"/>
          <w:sz w:val="24"/>
          <w:szCs w:val="24"/>
        </w:rPr>
        <w:t xml:space="preserve"> Rules</w:t>
      </w:r>
      <w:r w:rsidRPr="43FB5F3C">
        <w:rPr>
          <w:rFonts w:ascii="Times New Roman" w:hAnsi="Times New Roman" w:cs="Times New Roman"/>
          <w:sz w:val="24"/>
          <w:szCs w:val="24"/>
        </w:rPr>
        <w:t>. Please see the 2025 IRP Technical Appendix Vol</w:t>
      </w:r>
      <w:r w:rsidR="00554270">
        <w:rPr>
          <w:rFonts w:ascii="Times New Roman" w:hAnsi="Times New Roman" w:cs="Times New Roman"/>
          <w:sz w:val="24"/>
          <w:szCs w:val="24"/>
        </w:rPr>
        <w:t>ume</w:t>
      </w:r>
      <w:r w:rsidRPr="43FB5F3C">
        <w:rPr>
          <w:rFonts w:ascii="Times New Roman" w:hAnsi="Times New Roman" w:cs="Times New Roman"/>
          <w:sz w:val="24"/>
          <w:szCs w:val="24"/>
        </w:rPr>
        <w:t xml:space="preserve"> 1, </w:t>
      </w:r>
      <w:r w:rsidR="487D8DE4" w:rsidRPr="43FB5F3C">
        <w:rPr>
          <w:rFonts w:ascii="Times New Roman" w:hAnsi="Times New Roman" w:cs="Times New Roman"/>
          <w:sz w:val="24"/>
          <w:szCs w:val="24"/>
        </w:rPr>
        <w:t>Unit Retirement Study</w:t>
      </w:r>
      <w:r w:rsidRPr="43FB5F3C">
        <w:rPr>
          <w:rFonts w:ascii="Times New Roman" w:hAnsi="Times New Roman" w:cs="Times New Roman"/>
          <w:sz w:val="24"/>
          <w:szCs w:val="24"/>
        </w:rPr>
        <w:t xml:space="preserve"> for more information. </w:t>
      </w:r>
    </w:p>
    <w:p w14:paraId="27AA066A" w14:textId="77777777" w:rsidR="008B6AA1" w:rsidRDefault="008B6AA1" w:rsidP="00647D0E">
      <w:pPr>
        <w:pStyle w:val="ListParagraph"/>
        <w:jc w:val="both"/>
        <w:rPr>
          <w:rFonts w:ascii="Times New Roman" w:hAnsi="Times New Roman" w:cs="Times New Roman"/>
          <w:sz w:val="24"/>
          <w:szCs w:val="24"/>
        </w:rPr>
      </w:pPr>
    </w:p>
    <w:p w14:paraId="09D56FDD" w14:textId="160D3C0F" w:rsidR="78D1E933" w:rsidRDefault="78D1E933" w:rsidP="00647D0E">
      <w:pPr>
        <w:pStyle w:val="ListParagraph"/>
        <w:jc w:val="both"/>
        <w:rPr>
          <w:rFonts w:ascii="Times New Roman" w:hAnsi="Times New Roman" w:cs="Times New Roman"/>
          <w:sz w:val="24"/>
          <w:szCs w:val="24"/>
        </w:rPr>
      </w:pPr>
      <w:r w:rsidRPr="43FB5F3C">
        <w:rPr>
          <w:rFonts w:ascii="Times New Roman" w:hAnsi="Times New Roman" w:cs="Times New Roman"/>
          <w:sz w:val="24"/>
          <w:szCs w:val="24"/>
        </w:rPr>
        <w:t>The Company will continue to pursue opportunities to provide IRA</w:t>
      </w:r>
      <w:r w:rsidRPr="43FB5F3C">
        <w:rPr>
          <w:rFonts w:ascii="Times New Roman" w:hAnsi="Times New Roman"/>
          <w:sz w:val="24"/>
          <w:szCs w:val="24"/>
        </w:rPr>
        <w:t xml:space="preserve"> </w:t>
      </w:r>
      <w:r w:rsidRPr="43FB5F3C">
        <w:rPr>
          <w:rFonts w:ascii="Times New Roman" w:hAnsi="Times New Roman" w:cs="Times New Roman"/>
          <w:sz w:val="24"/>
          <w:szCs w:val="24"/>
        </w:rPr>
        <w:t>benefits to customers as those opportunities are identified</w:t>
      </w:r>
      <w:r w:rsidR="00ED016D">
        <w:rPr>
          <w:rFonts w:ascii="Times New Roman" w:hAnsi="Times New Roman" w:cs="Times New Roman"/>
          <w:sz w:val="24"/>
          <w:szCs w:val="24"/>
        </w:rPr>
        <w:t xml:space="preserve"> and vetted</w:t>
      </w:r>
      <w:r w:rsidRPr="43FB5F3C">
        <w:rPr>
          <w:rFonts w:ascii="Times New Roman" w:hAnsi="Times New Roman" w:cs="Times New Roman"/>
          <w:sz w:val="24"/>
          <w:szCs w:val="24"/>
        </w:rPr>
        <w:t>.</w:t>
      </w:r>
    </w:p>
    <w:p w14:paraId="6FF8EB82" w14:textId="78345FFC" w:rsidR="43FB5F3C" w:rsidRDefault="43FB5F3C" w:rsidP="43FB5F3C">
      <w:pPr>
        <w:pStyle w:val="ListParagraph"/>
        <w:rPr>
          <w:rFonts w:ascii="Times New Roman" w:hAnsi="Times New Roman" w:cs="Times New Roman"/>
          <w:sz w:val="24"/>
          <w:szCs w:val="24"/>
        </w:rPr>
      </w:pPr>
    </w:p>
    <w:p w14:paraId="129E9246" w14:textId="68C20BEB" w:rsidR="224E97E7" w:rsidRDefault="224E97E7" w:rsidP="224E97E7">
      <w:pPr>
        <w:pStyle w:val="ListParagraph"/>
        <w:rPr>
          <w:rFonts w:ascii="Times New Roman" w:hAnsi="Times New Roman" w:cs="Times New Roman"/>
          <w:sz w:val="24"/>
          <w:szCs w:val="24"/>
        </w:rPr>
      </w:pPr>
    </w:p>
    <w:p w14:paraId="7434C1FB" w14:textId="6ED22C14" w:rsidR="00863FBC" w:rsidRPr="00297459" w:rsidRDefault="00863FBC" w:rsidP="001C1BD1">
      <w:pPr>
        <w:pStyle w:val="ListParagraph"/>
        <w:rPr>
          <w:rFonts w:ascii="Times New Roman" w:hAnsi="Times New Roman" w:cs="Times New Roman"/>
          <w:sz w:val="24"/>
          <w:szCs w:val="24"/>
        </w:rPr>
      </w:pPr>
    </w:p>
    <w:sectPr w:rsidR="00863FBC" w:rsidRPr="00297459" w:rsidSect="0042704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CF4A7" w14:textId="77777777" w:rsidR="002653E1" w:rsidRDefault="002653E1">
      <w:pPr>
        <w:spacing w:after="0" w:line="240" w:lineRule="auto"/>
      </w:pPr>
      <w:r>
        <w:separator/>
      </w:r>
    </w:p>
  </w:endnote>
  <w:endnote w:type="continuationSeparator" w:id="0">
    <w:p w14:paraId="170C61F4" w14:textId="77777777" w:rsidR="002653E1" w:rsidRDefault="002653E1">
      <w:pPr>
        <w:spacing w:after="0" w:line="240" w:lineRule="auto"/>
      </w:pPr>
      <w:r>
        <w:continuationSeparator/>
      </w:r>
    </w:p>
  </w:endnote>
  <w:endnote w:type="continuationNotice" w:id="1">
    <w:p w14:paraId="6786AC04" w14:textId="77777777" w:rsidR="002653E1" w:rsidRDefault="00265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045E" w14:textId="4E54927F" w:rsidR="00CD6893" w:rsidRDefault="007846AF">
    <w:pPr>
      <w:pStyle w:val="Footer"/>
    </w:pPr>
    <w:r>
      <w:rPr>
        <w:rFonts w:ascii="Times New Roman" w:hAnsi="Times New Roman"/>
        <w:sz w:val="24"/>
      </w:rPr>
      <w:t xml:space="preserve">Contact: </w:t>
    </w:r>
    <w:r w:rsidR="00F633C8">
      <w:rPr>
        <w:rFonts w:ascii="Times New Roman" w:hAnsi="Times New Roman"/>
        <w:sz w:val="24"/>
      </w:rPr>
      <w:t>Randy Hubbert</w:t>
    </w:r>
    <w:r>
      <w:rPr>
        <w:rFonts w:ascii="Times New Roman" w:hAnsi="Times New Roman"/>
        <w:sz w:val="24"/>
      </w:rPr>
      <w:tab/>
    </w:r>
    <w:r>
      <w:rPr>
        <w:rFonts w:ascii="Times New Roman" w:hAnsi="Times New Roman"/>
        <w:sz w:val="24"/>
      </w:rPr>
      <w:tab/>
    </w:r>
    <w:r w:rsidR="00E25C56" w:rsidRPr="00AF4C08">
      <w:rPr>
        <w:rFonts w:ascii="Times New Roman" w:hAnsi="Times New Roman"/>
        <w:sz w:val="24"/>
      </w:rPr>
      <w:t xml:space="preserve">Page </w:t>
    </w:r>
    <w:r w:rsidR="00E25C56" w:rsidRPr="00AF4C08">
      <w:rPr>
        <w:rFonts w:ascii="Times New Roman" w:hAnsi="Times New Roman"/>
        <w:sz w:val="24"/>
      </w:rPr>
      <w:fldChar w:fldCharType="begin"/>
    </w:r>
    <w:r w:rsidR="00E25C56" w:rsidRPr="00AF4C08">
      <w:rPr>
        <w:rFonts w:ascii="Times New Roman" w:hAnsi="Times New Roman"/>
        <w:sz w:val="24"/>
      </w:rPr>
      <w:instrText xml:space="preserve"> PAGE  \* Arabic  \* MERGEFORMAT </w:instrText>
    </w:r>
    <w:r w:rsidR="00E25C56" w:rsidRPr="00AF4C08">
      <w:rPr>
        <w:rFonts w:ascii="Times New Roman" w:hAnsi="Times New Roman"/>
        <w:sz w:val="24"/>
      </w:rPr>
      <w:fldChar w:fldCharType="separate"/>
    </w:r>
    <w:r w:rsidR="00E25C56" w:rsidRPr="00AF4C08">
      <w:rPr>
        <w:rFonts w:ascii="Times New Roman" w:hAnsi="Times New Roman"/>
        <w:sz w:val="24"/>
      </w:rPr>
      <w:t>3</w:t>
    </w:r>
    <w:r w:rsidR="00E25C56" w:rsidRPr="00AF4C08">
      <w:rPr>
        <w:rFonts w:ascii="Times New Roman" w:hAnsi="Times New Roman"/>
        <w:sz w:val="24"/>
      </w:rPr>
      <w:fldChar w:fldCharType="end"/>
    </w:r>
    <w:r w:rsidR="00E25C56" w:rsidRPr="00AF4C08">
      <w:rPr>
        <w:rFonts w:ascii="Times New Roman" w:hAnsi="Times New Roman"/>
        <w:sz w:val="24"/>
      </w:rPr>
      <w:t xml:space="preserve"> of </w:t>
    </w:r>
    <w:r w:rsidR="00E25C56" w:rsidRPr="00AF4C08">
      <w:rPr>
        <w:rFonts w:ascii="Times New Roman" w:hAnsi="Times New Roman"/>
        <w:sz w:val="24"/>
      </w:rPr>
      <w:fldChar w:fldCharType="begin"/>
    </w:r>
    <w:r w:rsidR="00E25C56" w:rsidRPr="00AF4C08">
      <w:rPr>
        <w:rFonts w:ascii="Times New Roman" w:hAnsi="Times New Roman"/>
        <w:sz w:val="24"/>
      </w:rPr>
      <w:instrText xml:space="preserve"> NUMPAGES  \* Arabic  \* MERGEFORMAT </w:instrText>
    </w:r>
    <w:r w:rsidR="00E25C56" w:rsidRPr="00AF4C08">
      <w:rPr>
        <w:rFonts w:ascii="Times New Roman" w:hAnsi="Times New Roman"/>
        <w:sz w:val="24"/>
      </w:rPr>
      <w:fldChar w:fldCharType="separate"/>
    </w:r>
    <w:r w:rsidR="00E25C56" w:rsidRPr="00AF4C08">
      <w:rPr>
        <w:rFonts w:ascii="Times New Roman" w:hAnsi="Times New Roman"/>
        <w:sz w:val="24"/>
      </w:rPr>
      <w:t>6</w:t>
    </w:r>
    <w:r w:rsidR="00E25C56" w:rsidRPr="00AF4C08">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E666" w14:textId="77777777" w:rsidR="002653E1" w:rsidRDefault="002653E1">
      <w:pPr>
        <w:spacing w:after="0" w:line="240" w:lineRule="auto"/>
      </w:pPr>
      <w:r>
        <w:separator/>
      </w:r>
    </w:p>
  </w:footnote>
  <w:footnote w:type="continuationSeparator" w:id="0">
    <w:p w14:paraId="1E54E847" w14:textId="77777777" w:rsidR="002653E1" w:rsidRDefault="002653E1">
      <w:pPr>
        <w:spacing w:after="0" w:line="240" w:lineRule="auto"/>
      </w:pPr>
      <w:r>
        <w:continuationSeparator/>
      </w:r>
    </w:p>
  </w:footnote>
  <w:footnote w:type="continuationNotice" w:id="1">
    <w:p w14:paraId="03763456" w14:textId="77777777" w:rsidR="002653E1" w:rsidRDefault="00265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2DBA" w14:textId="77777777" w:rsidR="00427044" w:rsidRPr="00D62A4A" w:rsidRDefault="00427044" w:rsidP="00427044">
    <w:pPr>
      <w:spacing w:after="0" w:line="240" w:lineRule="auto"/>
      <w:jc w:val="center"/>
      <w:rPr>
        <w:rFonts w:ascii="Times New Roman" w:eastAsia="Times New Roman" w:hAnsi="Times New Roman" w:cs="Times New Roman"/>
        <w:b/>
        <w:bCs/>
        <w:sz w:val="24"/>
        <w:szCs w:val="24"/>
      </w:rPr>
    </w:pPr>
  </w:p>
  <w:p w14:paraId="5658E873" w14:textId="77777777" w:rsidR="00427044" w:rsidRPr="00D62A4A" w:rsidRDefault="00427044" w:rsidP="00427044">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2BDA603E" w14:textId="77777777" w:rsidR="00427044" w:rsidRPr="00D62A4A" w:rsidRDefault="00427044" w:rsidP="00427044">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73AAE38B" w14:textId="77777777" w:rsidR="00427044" w:rsidRPr="00D62A4A" w:rsidRDefault="00427044" w:rsidP="00427044">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7DE82E19" w14:textId="77777777" w:rsidR="00427044" w:rsidRPr="00D62A4A" w:rsidRDefault="00427044" w:rsidP="00427044">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4F3D76C8" w14:textId="77777777" w:rsidR="00427044" w:rsidRPr="00D62A4A" w:rsidRDefault="00427044" w:rsidP="00427044">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58075DAC" w14:textId="04568623" w:rsidR="00CD6893" w:rsidRPr="00427044" w:rsidRDefault="00CD6893" w:rsidP="00427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D9D5E96"/>
    <w:multiLevelType w:val="hybridMultilevel"/>
    <w:tmpl w:val="68108A1A"/>
    <w:lvl w:ilvl="0" w:tplc="A2261CC8">
      <w:start w:val="1"/>
      <w:numFmt w:val="lowerLetter"/>
      <w:lvlText w:val="%1."/>
      <w:lvlJc w:val="left"/>
      <w:pPr>
        <w:ind w:left="720" w:hanging="360"/>
      </w:pPr>
      <w:rPr>
        <w:rFonts w:ascii="Times New Roman" w:hAnsi="Times New Roman" w:hint="default"/>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4843295">
    <w:abstractNumId w:val="8"/>
  </w:num>
  <w:num w:numId="2" w16cid:durableId="311759158">
    <w:abstractNumId w:val="6"/>
  </w:num>
  <w:num w:numId="3" w16cid:durableId="1255937764">
    <w:abstractNumId w:val="5"/>
  </w:num>
  <w:num w:numId="4" w16cid:durableId="524828513">
    <w:abstractNumId w:val="4"/>
  </w:num>
  <w:num w:numId="5" w16cid:durableId="341594255">
    <w:abstractNumId w:val="7"/>
  </w:num>
  <w:num w:numId="6" w16cid:durableId="1296905870">
    <w:abstractNumId w:val="3"/>
  </w:num>
  <w:num w:numId="7" w16cid:durableId="1255092056">
    <w:abstractNumId w:val="2"/>
  </w:num>
  <w:num w:numId="8" w16cid:durableId="78916692">
    <w:abstractNumId w:val="1"/>
  </w:num>
  <w:num w:numId="9" w16cid:durableId="2086537261">
    <w:abstractNumId w:val="0"/>
  </w:num>
  <w:num w:numId="10" w16cid:durableId="10180469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416C"/>
    <w:rsid w:val="00034616"/>
    <w:rsid w:val="00037237"/>
    <w:rsid w:val="00054699"/>
    <w:rsid w:val="0005784E"/>
    <w:rsid w:val="0006063C"/>
    <w:rsid w:val="000962B1"/>
    <w:rsid w:val="00097360"/>
    <w:rsid w:val="000A3BC3"/>
    <w:rsid w:val="000B42AD"/>
    <w:rsid w:val="000D03DC"/>
    <w:rsid w:val="000F4EC6"/>
    <w:rsid w:val="000F5D0D"/>
    <w:rsid w:val="00122344"/>
    <w:rsid w:val="00125D6A"/>
    <w:rsid w:val="00132DAD"/>
    <w:rsid w:val="0015074B"/>
    <w:rsid w:val="00160897"/>
    <w:rsid w:val="001651B1"/>
    <w:rsid w:val="0019113B"/>
    <w:rsid w:val="001B1001"/>
    <w:rsid w:val="001B716C"/>
    <w:rsid w:val="001C1BD1"/>
    <w:rsid w:val="001D103A"/>
    <w:rsid w:val="001F33AD"/>
    <w:rsid w:val="001F71D5"/>
    <w:rsid w:val="00200FF9"/>
    <w:rsid w:val="0021798C"/>
    <w:rsid w:val="00233CE2"/>
    <w:rsid w:val="00252BF4"/>
    <w:rsid w:val="00253FF1"/>
    <w:rsid w:val="00254A78"/>
    <w:rsid w:val="00257E07"/>
    <w:rsid w:val="002604C3"/>
    <w:rsid w:val="002648E7"/>
    <w:rsid w:val="002653E1"/>
    <w:rsid w:val="00265DE5"/>
    <w:rsid w:val="00275227"/>
    <w:rsid w:val="0029639D"/>
    <w:rsid w:val="002970B3"/>
    <w:rsid w:val="00297459"/>
    <w:rsid w:val="002A5B7F"/>
    <w:rsid w:val="002A6A8A"/>
    <w:rsid w:val="002B1DBC"/>
    <w:rsid w:val="002D1F9A"/>
    <w:rsid w:val="002E07B8"/>
    <w:rsid w:val="002F42C0"/>
    <w:rsid w:val="002F7C96"/>
    <w:rsid w:val="003119DF"/>
    <w:rsid w:val="00326F90"/>
    <w:rsid w:val="003328BE"/>
    <w:rsid w:val="00336D23"/>
    <w:rsid w:val="00352D1B"/>
    <w:rsid w:val="0037350F"/>
    <w:rsid w:val="003B3498"/>
    <w:rsid w:val="003C0865"/>
    <w:rsid w:val="0040035B"/>
    <w:rsid w:val="00402137"/>
    <w:rsid w:val="00402FDF"/>
    <w:rsid w:val="00426416"/>
    <w:rsid w:val="00427044"/>
    <w:rsid w:val="00433B93"/>
    <w:rsid w:val="004628B6"/>
    <w:rsid w:val="00492B7E"/>
    <w:rsid w:val="004A58EE"/>
    <w:rsid w:val="004A7F6B"/>
    <w:rsid w:val="004B540A"/>
    <w:rsid w:val="004E2E6B"/>
    <w:rsid w:val="00502952"/>
    <w:rsid w:val="00503410"/>
    <w:rsid w:val="005265E4"/>
    <w:rsid w:val="0053203F"/>
    <w:rsid w:val="00532FB8"/>
    <w:rsid w:val="005429BC"/>
    <w:rsid w:val="005454BE"/>
    <w:rsid w:val="00554270"/>
    <w:rsid w:val="005669E0"/>
    <w:rsid w:val="00574948"/>
    <w:rsid w:val="00585B33"/>
    <w:rsid w:val="005C28C1"/>
    <w:rsid w:val="005D1523"/>
    <w:rsid w:val="005E01ED"/>
    <w:rsid w:val="00601F26"/>
    <w:rsid w:val="0062559F"/>
    <w:rsid w:val="00626347"/>
    <w:rsid w:val="00631CE2"/>
    <w:rsid w:val="006362A5"/>
    <w:rsid w:val="0064204B"/>
    <w:rsid w:val="00647D0E"/>
    <w:rsid w:val="0066079C"/>
    <w:rsid w:val="006616D3"/>
    <w:rsid w:val="00675EC2"/>
    <w:rsid w:val="0068495C"/>
    <w:rsid w:val="00693DCD"/>
    <w:rsid w:val="006A068E"/>
    <w:rsid w:val="006C343A"/>
    <w:rsid w:val="006E056C"/>
    <w:rsid w:val="006E591D"/>
    <w:rsid w:val="00702031"/>
    <w:rsid w:val="0073057D"/>
    <w:rsid w:val="007327A6"/>
    <w:rsid w:val="00763893"/>
    <w:rsid w:val="007652D5"/>
    <w:rsid w:val="007846AF"/>
    <w:rsid w:val="007A5086"/>
    <w:rsid w:val="007C1DD6"/>
    <w:rsid w:val="007C56E4"/>
    <w:rsid w:val="00803FD4"/>
    <w:rsid w:val="0082485F"/>
    <w:rsid w:val="00840F38"/>
    <w:rsid w:val="00863FBC"/>
    <w:rsid w:val="008A1E2C"/>
    <w:rsid w:val="008A45B4"/>
    <w:rsid w:val="008B266A"/>
    <w:rsid w:val="008B6AA1"/>
    <w:rsid w:val="008B70CF"/>
    <w:rsid w:val="008F2F10"/>
    <w:rsid w:val="00927487"/>
    <w:rsid w:val="00983292"/>
    <w:rsid w:val="009B1953"/>
    <w:rsid w:val="009B4CFB"/>
    <w:rsid w:val="009B78EA"/>
    <w:rsid w:val="009C5D93"/>
    <w:rsid w:val="009C6BD3"/>
    <w:rsid w:val="009F2F63"/>
    <w:rsid w:val="00A011CE"/>
    <w:rsid w:val="00A20562"/>
    <w:rsid w:val="00A82811"/>
    <w:rsid w:val="00AA1D8D"/>
    <w:rsid w:val="00AB003A"/>
    <w:rsid w:val="00AE6D22"/>
    <w:rsid w:val="00AF441C"/>
    <w:rsid w:val="00AF4C08"/>
    <w:rsid w:val="00B16F2F"/>
    <w:rsid w:val="00B22352"/>
    <w:rsid w:val="00B279EF"/>
    <w:rsid w:val="00B47730"/>
    <w:rsid w:val="00B51243"/>
    <w:rsid w:val="00B5365D"/>
    <w:rsid w:val="00B56A92"/>
    <w:rsid w:val="00B622FA"/>
    <w:rsid w:val="00B642C7"/>
    <w:rsid w:val="00B83F95"/>
    <w:rsid w:val="00B907B6"/>
    <w:rsid w:val="00B96A4F"/>
    <w:rsid w:val="00BA63F6"/>
    <w:rsid w:val="00BC3B98"/>
    <w:rsid w:val="00BC6E2B"/>
    <w:rsid w:val="00BF3D49"/>
    <w:rsid w:val="00C024AD"/>
    <w:rsid w:val="00C1165A"/>
    <w:rsid w:val="00C15C53"/>
    <w:rsid w:val="00C2284C"/>
    <w:rsid w:val="00C368A3"/>
    <w:rsid w:val="00C7030D"/>
    <w:rsid w:val="00C7455A"/>
    <w:rsid w:val="00CA1A93"/>
    <w:rsid w:val="00CA788E"/>
    <w:rsid w:val="00CB0664"/>
    <w:rsid w:val="00CD6893"/>
    <w:rsid w:val="00CE1206"/>
    <w:rsid w:val="00CE60C0"/>
    <w:rsid w:val="00D862A1"/>
    <w:rsid w:val="00D9070A"/>
    <w:rsid w:val="00D921DF"/>
    <w:rsid w:val="00DB0824"/>
    <w:rsid w:val="00DF295D"/>
    <w:rsid w:val="00E067E3"/>
    <w:rsid w:val="00E13BF5"/>
    <w:rsid w:val="00E25C56"/>
    <w:rsid w:val="00E43E9D"/>
    <w:rsid w:val="00E72C35"/>
    <w:rsid w:val="00ED016D"/>
    <w:rsid w:val="00EE22FB"/>
    <w:rsid w:val="00EF146E"/>
    <w:rsid w:val="00F3230B"/>
    <w:rsid w:val="00F36524"/>
    <w:rsid w:val="00F410FE"/>
    <w:rsid w:val="00F456D2"/>
    <w:rsid w:val="00F458E3"/>
    <w:rsid w:val="00F61F8C"/>
    <w:rsid w:val="00F633C8"/>
    <w:rsid w:val="00F81DF8"/>
    <w:rsid w:val="00F85EAA"/>
    <w:rsid w:val="00F92E97"/>
    <w:rsid w:val="00FC49AD"/>
    <w:rsid w:val="00FC693F"/>
    <w:rsid w:val="00FD6C33"/>
    <w:rsid w:val="00FF4654"/>
    <w:rsid w:val="01E7F7A1"/>
    <w:rsid w:val="08F66419"/>
    <w:rsid w:val="09392731"/>
    <w:rsid w:val="12099463"/>
    <w:rsid w:val="15425284"/>
    <w:rsid w:val="16534BA1"/>
    <w:rsid w:val="16B4B6DA"/>
    <w:rsid w:val="18AE6CBF"/>
    <w:rsid w:val="1C58E208"/>
    <w:rsid w:val="1EC56E61"/>
    <w:rsid w:val="224E97E7"/>
    <w:rsid w:val="2ADCCF7C"/>
    <w:rsid w:val="3114A556"/>
    <w:rsid w:val="35196236"/>
    <w:rsid w:val="38C3BFD8"/>
    <w:rsid w:val="3ABE781C"/>
    <w:rsid w:val="43A55D86"/>
    <w:rsid w:val="43FB5F3C"/>
    <w:rsid w:val="442DE710"/>
    <w:rsid w:val="487D8DE4"/>
    <w:rsid w:val="4AAE6523"/>
    <w:rsid w:val="4F46F3B5"/>
    <w:rsid w:val="51A363E6"/>
    <w:rsid w:val="57B62B32"/>
    <w:rsid w:val="5804B14B"/>
    <w:rsid w:val="58E19B62"/>
    <w:rsid w:val="59B17D36"/>
    <w:rsid w:val="62716A42"/>
    <w:rsid w:val="629F1788"/>
    <w:rsid w:val="62B4B7AB"/>
    <w:rsid w:val="67DFE2F8"/>
    <w:rsid w:val="71E55558"/>
    <w:rsid w:val="72769788"/>
    <w:rsid w:val="776EB0D7"/>
    <w:rsid w:val="788247A7"/>
    <w:rsid w:val="78D1E9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9C5D93"/>
    <w:rPr>
      <w:sz w:val="16"/>
      <w:szCs w:val="16"/>
    </w:rPr>
  </w:style>
  <w:style w:type="paragraph" w:styleId="CommentText">
    <w:name w:val="annotation text"/>
    <w:basedOn w:val="Normal"/>
    <w:link w:val="CommentTextChar"/>
    <w:uiPriority w:val="99"/>
    <w:unhideWhenUsed/>
    <w:rsid w:val="009C5D93"/>
    <w:pPr>
      <w:spacing w:line="240" w:lineRule="auto"/>
    </w:pPr>
    <w:rPr>
      <w:sz w:val="20"/>
      <w:szCs w:val="20"/>
    </w:rPr>
  </w:style>
  <w:style w:type="character" w:customStyle="1" w:styleId="CommentTextChar">
    <w:name w:val="Comment Text Char"/>
    <w:basedOn w:val="DefaultParagraphFont"/>
    <w:link w:val="CommentText"/>
    <w:uiPriority w:val="99"/>
    <w:rsid w:val="009C5D93"/>
    <w:rPr>
      <w:sz w:val="20"/>
      <w:szCs w:val="20"/>
    </w:rPr>
  </w:style>
  <w:style w:type="paragraph" w:styleId="CommentSubject">
    <w:name w:val="annotation subject"/>
    <w:basedOn w:val="CommentText"/>
    <w:next w:val="CommentText"/>
    <w:link w:val="CommentSubjectChar"/>
    <w:uiPriority w:val="99"/>
    <w:semiHidden/>
    <w:unhideWhenUsed/>
    <w:rsid w:val="009C5D93"/>
    <w:rPr>
      <w:b/>
      <w:bCs/>
    </w:rPr>
  </w:style>
  <w:style w:type="character" w:customStyle="1" w:styleId="CommentSubjectChar">
    <w:name w:val="Comment Subject Char"/>
    <w:basedOn w:val="CommentTextChar"/>
    <w:link w:val="CommentSubject"/>
    <w:uiPriority w:val="99"/>
    <w:semiHidden/>
    <w:rsid w:val="009C5D93"/>
    <w:rPr>
      <w:b/>
      <w:bCs/>
      <w:sz w:val="20"/>
      <w:szCs w:val="20"/>
    </w:rPr>
  </w:style>
  <w:style w:type="character" w:styleId="Mention">
    <w:name w:val="Mention"/>
    <w:basedOn w:val="DefaultParagraphFont"/>
    <w:uiPriority w:val="99"/>
    <w:unhideWhenUsed/>
    <w:rsid w:val="00F633C8"/>
    <w:rPr>
      <w:color w:val="2B579A"/>
      <w:shd w:val="clear" w:color="auto" w:fill="E1DFDD"/>
    </w:rPr>
  </w:style>
  <w:style w:type="paragraph" w:styleId="Revision">
    <w:name w:val="Revision"/>
    <w:hidden/>
    <w:uiPriority w:val="99"/>
    <w:semiHidden/>
    <w:rsid w:val="001F71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74690">
      <w:bodyDiv w:val="1"/>
      <w:marLeft w:val="0"/>
      <w:marRight w:val="0"/>
      <w:marTop w:val="0"/>
      <w:marBottom w:val="0"/>
      <w:divBdr>
        <w:top w:val="none" w:sz="0" w:space="0" w:color="auto"/>
        <w:left w:val="none" w:sz="0" w:space="0" w:color="auto"/>
        <w:bottom w:val="none" w:sz="0" w:space="0" w:color="auto"/>
        <w:right w:val="none" w:sz="0" w:space="0" w:color="auto"/>
      </w:divBdr>
    </w:div>
    <w:div w:id="840464271">
      <w:bodyDiv w:val="1"/>
      <w:marLeft w:val="0"/>
      <w:marRight w:val="0"/>
      <w:marTop w:val="0"/>
      <w:marBottom w:val="0"/>
      <w:divBdr>
        <w:top w:val="none" w:sz="0" w:space="0" w:color="auto"/>
        <w:left w:val="none" w:sz="0" w:space="0" w:color="auto"/>
        <w:bottom w:val="none" w:sz="0" w:space="0" w:color="auto"/>
        <w:right w:val="none" w:sz="0" w:space="0" w:color="auto"/>
      </w:divBdr>
    </w:div>
    <w:div w:id="1223715607">
      <w:bodyDiv w:val="1"/>
      <w:marLeft w:val="0"/>
      <w:marRight w:val="0"/>
      <w:marTop w:val="0"/>
      <w:marBottom w:val="0"/>
      <w:divBdr>
        <w:top w:val="none" w:sz="0" w:space="0" w:color="auto"/>
        <w:left w:val="none" w:sz="0" w:space="0" w:color="auto"/>
        <w:bottom w:val="none" w:sz="0" w:space="0" w:color="auto"/>
        <w:right w:val="none" w:sz="0" w:space="0" w:color="auto"/>
      </w:divBdr>
    </w:div>
    <w:div w:id="1340162287">
      <w:bodyDiv w:val="1"/>
      <w:marLeft w:val="0"/>
      <w:marRight w:val="0"/>
      <w:marTop w:val="0"/>
      <w:marBottom w:val="0"/>
      <w:divBdr>
        <w:top w:val="none" w:sz="0" w:space="0" w:color="auto"/>
        <w:left w:val="none" w:sz="0" w:space="0" w:color="auto"/>
        <w:bottom w:val="none" w:sz="0" w:space="0" w:color="auto"/>
        <w:right w:val="none" w:sz="0" w:space="0" w:color="auto"/>
      </w:divBdr>
    </w:div>
    <w:div w:id="18169460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D74FB06-6442-4488-9EEF-D96042E3DF9D}"/>
</file>

<file path=customXml/itemProps3.xml><?xml version="1.0" encoding="utf-8"?>
<ds:datastoreItem xmlns:ds="http://schemas.openxmlformats.org/officeDocument/2006/customXml" ds:itemID="{BEEF519F-CB30-4E11-9931-FCDA544FE775}"/>
</file>

<file path=customXml/itemProps4.xml><?xml version="1.0" encoding="utf-8"?>
<ds:datastoreItem xmlns:ds="http://schemas.openxmlformats.org/officeDocument/2006/customXml" ds:itemID="{0281C678-E9AE-425A-9DA5-988ECE1E73DA}"/>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2622</CharactersWithSpaces>
  <SharedDoc>false</SharedDoc>
  <HyperlinkBase/>
  <HLinks>
    <vt:vector size="54" baseType="variant">
      <vt:variant>
        <vt:i4>3342345</vt:i4>
      </vt:variant>
      <vt:variant>
        <vt:i4>24</vt:i4>
      </vt:variant>
      <vt:variant>
        <vt:i4>0</vt:i4>
      </vt:variant>
      <vt:variant>
        <vt:i4>5</vt:i4>
      </vt:variant>
      <vt:variant>
        <vt:lpwstr>mailto:JPKAAL@southernco.com</vt:lpwstr>
      </vt:variant>
      <vt:variant>
        <vt:lpwstr/>
      </vt:variant>
      <vt:variant>
        <vt:i4>4259964</vt:i4>
      </vt:variant>
      <vt:variant>
        <vt:i4>21</vt:i4>
      </vt:variant>
      <vt:variant>
        <vt:i4>0</vt:i4>
      </vt:variant>
      <vt:variant>
        <vt:i4>5</vt:i4>
      </vt:variant>
      <vt:variant>
        <vt:lpwstr>mailto:WAANGEL@SOUTHERNCO.COM</vt:lpwstr>
      </vt:variant>
      <vt:variant>
        <vt:lpwstr/>
      </vt:variant>
      <vt:variant>
        <vt:i4>6160505</vt:i4>
      </vt:variant>
      <vt:variant>
        <vt:i4>18</vt:i4>
      </vt:variant>
      <vt:variant>
        <vt:i4>0</vt:i4>
      </vt:variant>
      <vt:variant>
        <vt:i4>5</vt:i4>
      </vt:variant>
      <vt:variant>
        <vt:lpwstr>mailto:JWALTERS@SOUTHERNCO.COM</vt:lpwstr>
      </vt:variant>
      <vt:variant>
        <vt:lpwstr/>
      </vt:variant>
      <vt:variant>
        <vt:i4>4784250</vt:i4>
      </vt:variant>
      <vt:variant>
        <vt:i4>15</vt:i4>
      </vt:variant>
      <vt:variant>
        <vt:i4>0</vt:i4>
      </vt:variant>
      <vt:variant>
        <vt:i4>5</vt:i4>
      </vt:variant>
      <vt:variant>
        <vt:lpwstr>mailto:MRCLABUR@southernco.com</vt:lpwstr>
      </vt:variant>
      <vt:variant>
        <vt:lpwstr/>
      </vt:variant>
      <vt:variant>
        <vt:i4>4259964</vt:i4>
      </vt:variant>
      <vt:variant>
        <vt:i4>12</vt:i4>
      </vt:variant>
      <vt:variant>
        <vt:i4>0</vt:i4>
      </vt:variant>
      <vt:variant>
        <vt:i4>5</vt:i4>
      </vt:variant>
      <vt:variant>
        <vt:lpwstr>mailto:WAANGEL@SOUTHERNCO.COM</vt:lpwstr>
      </vt:variant>
      <vt:variant>
        <vt:lpwstr/>
      </vt:variant>
      <vt:variant>
        <vt:i4>6160505</vt:i4>
      </vt:variant>
      <vt:variant>
        <vt:i4>9</vt:i4>
      </vt:variant>
      <vt:variant>
        <vt:i4>0</vt:i4>
      </vt:variant>
      <vt:variant>
        <vt:i4>5</vt:i4>
      </vt:variant>
      <vt:variant>
        <vt:lpwstr>mailto:JWALTERS@SOUTHERNCO.COM</vt:lpwstr>
      </vt:variant>
      <vt:variant>
        <vt:lpwstr/>
      </vt:variant>
      <vt:variant>
        <vt:i4>4784250</vt:i4>
      </vt:variant>
      <vt:variant>
        <vt:i4>6</vt:i4>
      </vt:variant>
      <vt:variant>
        <vt:i4>0</vt:i4>
      </vt:variant>
      <vt:variant>
        <vt:i4>5</vt:i4>
      </vt:variant>
      <vt:variant>
        <vt:lpwstr>mailto:MRCLABUR@southernco.com</vt:lpwstr>
      </vt:variant>
      <vt:variant>
        <vt:lpwstr/>
      </vt:variant>
      <vt:variant>
        <vt:i4>2097170</vt:i4>
      </vt:variant>
      <vt:variant>
        <vt:i4>3</vt:i4>
      </vt:variant>
      <vt:variant>
        <vt:i4>0</vt:i4>
      </vt:variant>
      <vt:variant>
        <vt:i4>5</vt:i4>
      </vt:variant>
      <vt:variant>
        <vt:lpwstr>mailto:RABEL@southernco.com</vt:lpwstr>
      </vt:variant>
      <vt:variant>
        <vt:lpwstr/>
      </vt:variant>
      <vt:variant>
        <vt:i4>5636195</vt:i4>
      </vt:variant>
      <vt:variant>
        <vt:i4>0</vt:i4>
      </vt:variant>
      <vt:variant>
        <vt:i4>0</vt:i4>
      </vt:variant>
      <vt:variant>
        <vt:i4>5</vt:i4>
      </vt:variant>
      <vt:variant>
        <vt:lpwstr>mailto:JRHUBBER@southernco.com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2025-02-28T16:19:00Z</dcterms:created>
  <dcterms:modified xsi:type="dcterms:W3CDTF">2025-02-28T16:19:00Z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2025-02-28T16:19:48Z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f2fdfdbe-c905-46e3-b555-c325adaa0722</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3232000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